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3EB" w:rsidRPr="00583FE9" w:rsidRDefault="00E223EB" w:rsidP="00E223EB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6. Эмоционалдық саланы басқару қайшылықты басқарудың негізі ретінде.  </w:t>
      </w:r>
    </w:p>
    <w:p w:rsidR="006C4AE8" w:rsidRPr="00E223EB" w:rsidRDefault="00E223EB" w:rsidP="00E223EB">
      <w:pPr>
        <w:rPr>
          <w:lang w:val="kk-KZ"/>
        </w:rPr>
      </w:pPr>
      <w:r w:rsidRPr="00583FE9">
        <w:rPr>
          <w:sz w:val="24"/>
          <w:szCs w:val="24"/>
          <w:lang w:val="kk-KZ"/>
        </w:rPr>
        <w:t xml:space="preserve">Тапсырма: «Қиратушы әсерлерді зерттеу» кестесін дайындап толтырыңыз, «Ситуацияның эмоционалды нәтижелерінің өзгерісі»  блок-сызбасын дайындаңыз.   </w:t>
      </w:r>
    </w:p>
    <w:sectPr w:rsidR="006C4AE8" w:rsidRPr="00E22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E223EB"/>
    <w:rsid w:val="006C4AE8"/>
    <w:rsid w:val="00E22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2017-01-30T16:10:00Z</dcterms:created>
  <dcterms:modified xsi:type="dcterms:W3CDTF">2017-01-30T16:10:00Z</dcterms:modified>
</cp:coreProperties>
</file>